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9.png" ContentType="image/png"/>
  <Override PartName="/word/media/image27.png" ContentType="image/png"/>
  <Override PartName="/word/media/image26.png" ContentType="image/png"/>
  <Override PartName="/word/media/image23.png" ContentType="image/png"/>
  <Override PartName="/word/media/image2.jpeg" ContentType="image/jpeg"/>
  <Override PartName="/word/media/image18.png" ContentType="image/png"/>
  <Override PartName="/word/media/image7.jpeg" ContentType="image/jpe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24.png" ContentType="image/png"/>
  <Override PartName="/word/media/image9.png" ContentType="image/png"/>
  <Override PartName="/word/media/image22.png" ContentType="image/png"/>
  <Override PartName="/word/media/image11.png" ContentType="image/png"/>
  <Override PartName="/word/media/image21.png" ContentType="image/png"/>
  <Override PartName="/word/media/image6.png" ContentType="image/png"/>
  <Override PartName="/word/media/image19.jpeg" ContentType="image/jpeg"/>
  <Override PartName="/word/media/image20.jpeg" ContentType="image/jpeg"/>
  <Override PartName="/word/media/image4.jpeg" ContentType="image/jpeg"/>
  <Override PartName="/word/media/image16.png" ContentType="image/png"/>
  <Override PartName="/word/media/image28.png" ContentType="image/png"/>
  <Override PartName="/word/media/image3.jpeg" ContentType="image/jpeg"/>
  <Override PartName="/word/media/image5.png" ContentType="image/png"/>
  <Override PartName="/word/media/image1.png" ContentType="image/png"/>
  <Override PartName="/word/media/image17.png" ContentType="image/png"/>
  <Override PartName="/word/media/image25.png" ContentType="image/png"/>
  <Override PartName="/word/media/image8.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A000-MEX-Mezcala-Pendant-Head-Anthropomorphic-Black serpentine-300 BCE</w:t>
      </w:r>
    </w:p>
    <w:p>
      <w:pPr>
        <w:pStyle w:val="Normal"/>
        <w:tabs>
          <w:tab w:val="clear" w:pos="720"/>
          <w:tab w:val="left" w:pos="969" w:leader="none"/>
        </w:tabs>
        <w:ind w:start="-798" w:hanging="0"/>
        <w:rPr>
          <w:lang w:val="en-US" w:eastAsia="en-US"/>
        </w:rPr>
      </w:pPr>
      <w:r>
        <w:rPr>
          <w:lang w:val="en-US" w:eastAsia="en-US"/>
        </w:rPr>
        <w:drawing>
          <wp:inline distT="0" distB="0" distL="0" distR="0">
            <wp:extent cx="1800860" cy="270002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9" t="-6" r="-9" b="-6"/>
                    <a:stretch>
                      <a:fillRect/>
                    </a:stretch>
                  </pic:blipFill>
                  <pic:spPr bwMode="auto">
                    <a:xfrm>
                      <a:off x="0" y="0"/>
                      <a:ext cx="1800860" cy="2700020"/>
                    </a:xfrm>
                    <a:prstGeom prst="rect">
                      <a:avLst/>
                    </a:prstGeom>
                  </pic:spPr>
                </pic:pic>
              </a:graphicData>
            </a:graphic>
          </wp:inline>
        </w:drawing>
      </w:r>
      <w:r>
        <w:rPr/>
        <w:drawing>
          <wp:inline distT="0" distB="0" distL="0" distR="0">
            <wp:extent cx="1515745" cy="272542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2" t="-7" r="-12" b="-7"/>
                    <a:stretch>
                      <a:fillRect/>
                    </a:stretch>
                  </pic:blipFill>
                  <pic:spPr bwMode="auto">
                    <a:xfrm>
                      <a:off x="0" y="0"/>
                      <a:ext cx="1515745" cy="2725420"/>
                    </a:xfrm>
                    <a:prstGeom prst="rect">
                      <a:avLst/>
                    </a:prstGeom>
                  </pic:spPr>
                </pic:pic>
              </a:graphicData>
            </a:graphic>
          </wp:inline>
        </w:drawing>
      </w:r>
      <w:r>
        <w:rPr/>
        <w:drawing>
          <wp:inline distT="0" distB="0" distL="0" distR="0">
            <wp:extent cx="1839595" cy="275336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11" t="-7" r="-11" b="-7"/>
                    <a:stretch>
                      <a:fillRect/>
                    </a:stretch>
                  </pic:blipFill>
                  <pic:spPr bwMode="auto">
                    <a:xfrm>
                      <a:off x="0" y="0"/>
                      <a:ext cx="1839595" cy="2753360"/>
                    </a:xfrm>
                    <a:prstGeom prst="rect">
                      <a:avLst/>
                    </a:prstGeom>
                  </pic:spPr>
                </pic:pic>
              </a:graphicData>
            </a:graphic>
          </wp:inline>
        </w:drawing>
      </w:r>
      <w:r>
        <w:rPr>
          <w:lang w:val="en-US" w:eastAsia="en-US"/>
        </w:rPr>
        <w:t xml:space="preserve"> </w:t>
      </w:r>
    </w:p>
    <w:p>
      <w:pPr>
        <w:pStyle w:val="Normal"/>
        <w:tabs>
          <w:tab w:val="clear" w:pos="720"/>
          <w:tab w:val="left" w:pos="969" w:leader="none"/>
        </w:tabs>
        <w:ind w:start="-798" w:hanging="0"/>
        <w:rPr/>
      </w:pPr>
      <w:r>
        <w:rPr/>
        <w:drawing>
          <wp:inline distT="0" distB="0" distL="0" distR="0">
            <wp:extent cx="1515745" cy="184912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10" t="-8" r="-10" b="-8"/>
                    <a:stretch>
                      <a:fillRect/>
                    </a:stretch>
                  </pic:blipFill>
                  <pic:spPr bwMode="auto">
                    <a:xfrm>
                      <a:off x="0" y="0"/>
                      <a:ext cx="1515745" cy="1849120"/>
                    </a:xfrm>
                    <a:prstGeom prst="rect">
                      <a:avLst/>
                    </a:prstGeom>
                  </pic:spPr>
                </pic:pic>
              </a:graphicData>
            </a:graphic>
          </wp:inline>
        </w:drawing>
      </w:r>
    </w:p>
    <w:p>
      <w:pPr>
        <w:pStyle w:val="Normal"/>
        <w:tabs>
          <w:tab w:val="clear" w:pos="720"/>
          <w:tab w:val="left" w:pos="969" w:leader="none"/>
        </w:tabs>
        <w:ind w:start="-798" w:hanging="0"/>
        <w:rPr/>
      </w:pPr>
      <w:r>
        <w:rPr/>
        <w:t>Figs. 1-4. A000-MEX-Mezcala-Pendant-Head-Anthropomorphic-Black serpentine-300 BCE</w:t>
      </w:r>
    </w:p>
    <w:p>
      <w:pPr>
        <w:pStyle w:val="Normal"/>
        <w:rPr>
          <w:rStyle w:val="StrongEmphasis"/>
        </w:rPr>
      </w:pPr>
      <w:r>
        <w:rPr>
          <w:rStyle w:val="StrongEmphasis"/>
        </w:rPr>
        <w:t>Case no.: 14</w:t>
      </w:r>
    </w:p>
    <w:p>
      <w:pPr>
        <w:pStyle w:val="Normal"/>
        <w:rPr/>
      </w:pPr>
      <w:r>
        <w:rPr>
          <w:rStyle w:val="StrongEmphasis"/>
        </w:rPr>
        <w:t>Accession Number:</w:t>
      </w:r>
    </w:p>
    <w:p>
      <w:pPr>
        <w:pStyle w:val="Normal"/>
        <w:rPr>
          <w:rStyle w:val="StrongEmphasis"/>
        </w:rPr>
      </w:pPr>
      <w:r>
        <w:rPr>
          <w:rStyle w:val="StrongEmphasis"/>
        </w:rPr>
        <w:t xml:space="preserve">Formal Label: </w:t>
      </w:r>
      <w:r>
        <w:rPr/>
        <w:t>Mezcala, Guerrero-Maskette-Pendant-Anthropomorphic-Brown Serpentine-Early Preclassic-700-200 BCE</w:t>
      </w:r>
    </w:p>
    <w:p>
      <w:pPr>
        <w:pStyle w:val="Normal"/>
        <w:rPr/>
      </w:pPr>
      <w:r>
        <w:rPr>
          <w:b/>
          <w:bCs/>
        </w:rPr>
        <w:t xml:space="preserve">Display Description: </w:t>
      </w:r>
    </w:p>
    <w:p>
      <w:pPr>
        <w:pStyle w:val="Normal"/>
        <w:rPr/>
      </w:pPr>
      <w:r>
        <w:rPr>
          <w:b/>
          <w:bCs/>
        </w:rPr>
        <w:tab/>
      </w:r>
      <w:r>
        <w:rPr>
          <w:bCs/>
        </w:rPr>
        <w:t>This brown serpentine Mezcala anthropomorphic maskette-pendant is in a rigidly formalistic style and without fine details that places it in the Early Preclassic Period, 700-200 BCE.</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6">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0" descr="" title=""/>
                    <pic:cNvPicPr>
                      <a:picLocks noChangeAspect="1" noChangeArrowheads="1"/>
                    </pic:cNvPicPr>
                  </pic:nvPicPr>
                  <pic:blipFill>
                    <a:blip r:embed="rId7"/>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5. Map of Guerrero, Mezcala, after </w:t>
      </w:r>
      <w:hyperlink r:id="rId8">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6"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descr="" title=""/>
                    <pic:cNvPicPr>
                      <a:picLocks noChangeAspect="1" noChangeArrowheads="1"/>
                    </pic:cNvPicPr>
                  </pic:nvPicPr>
                  <pic:blipFill>
                    <a:blip r:embed="rId9"/>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6. Map of Coastal Guerrero, Mezcala, after </w:t>
      </w:r>
      <w:hyperlink r:id="rId10">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pPr>
      <w:r>
        <w:rPr/>
      </w:r>
    </w:p>
    <w:p>
      <w:pPr>
        <w:pStyle w:val="Normal"/>
        <w:rPr/>
      </w:pPr>
      <w:r>
        <w:rPr/>
        <w:drawing>
          <wp:inline distT="0" distB="0" distL="0" distR="0">
            <wp:extent cx="6244590" cy="2498725"/>
            <wp:effectExtent l="0" t="0" r="0" b="0"/>
            <wp:docPr id="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title=""/>
                    <pic:cNvPicPr>
                      <a:picLocks noChangeAspect="1" noChangeArrowheads="1"/>
                    </pic:cNvPicPr>
                  </pic:nvPicPr>
                  <pic:blipFill>
                    <a:blip r:embed="rId11"/>
                    <a:srcRect l="-4" t="-10" r="-4" b="-10"/>
                    <a:stretch>
                      <a:fillRect/>
                    </a:stretch>
                  </pic:blipFill>
                  <pic:spPr bwMode="auto">
                    <a:xfrm>
                      <a:off x="0" y="0"/>
                      <a:ext cx="6244590" cy="2498725"/>
                    </a:xfrm>
                    <a:prstGeom prst="rect">
                      <a:avLst/>
                    </a:prstGeom>
                  </pic:spPr>
                </pic:pic>
              </a:graphicData>
            </a:graphic>
          </wp:inline>
        </w:drawing>
      </w:r>
    </w:p>
    <w:p>
      <w:pPr>
        <w:pStyle w:val="Normal"/>
        <w:rPr/>
      </w:pPr>
      <w:r>
        <w:rPr>
          <w:rStyle w:val="S1"/>
        </w:rPr>
        <w:t>Fig. 7. Ex. Jesse R. Sumter, Bloomfield, New Jersey. Collection acquired from 1955 to 1959 by Dr. Bernal Diaz, Director, Museo Nacional, Mexico, D. F., and cleared for export to the U.S. by him. Collection authenticated in 1960 by Dr. Gordon M Eckholm, Curator, The American Museum of Natural History</w:t>
      </w:r>
    </w:p>
    <w:p>
      <w:pPr>
        <w:pStyle w:val="Normal"/>
        <w:rPr>
          <w:rStyle w:val="S1"/>
        </w:rPr>
      </w:pPr>
      <w:r>
        <w:rPr/>
      </w:r>
    </w:p>
    <w:p>
      <w:pPr>
        <w:pStyle w:val="Normal"/>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2"/>
        </w:numPr>
        <w:rPr>
          <w:lang w:val="fr-FR"/>
        </w:rPr>
      </w:pPr>
      <w:r>
        <w:rPr>
          <w:lang w:val="fr-FR"/>
        </w:rPr>
        <w:t>Teotihuacan (Rubín de la Borbolla 1964)</w:t>
      </w:r>
    </w:p>
    <w:p>
      <w:pPr>
        <w:pStyle w:val="Normal"/>
        <w:rPr>
          <w:lang w:val="fr-FR"/>
        </w:rPr>
      </w:pPr>
      <w:r>
        <w:rPr>
          <w:lang w:val="fr-FR"/>
        </w:rPr>
      </w:r>
    </w:p>
    <w:p>
      <w:pPr>
        <w:pStyle w:val="ListParagraph"/>
        <w:numPr>
          <w:ilvl w:val="0"/>
          <w:numId w:val="2"/>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2"/>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628015</wp:posOffset>
                </wp:positionV>
                <wp:extent cx="2782570" cy="3148330"/>
                <wp:effectExtent l="0" t="0" r="0" b="0"/>
                <wp:wrapSquare wrapText="bothSides"/>
                <wp:docPr id="8"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9"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12"/>
                                    <a:srcRect l="-1" t="-1" r="-1" b="-1"/>
                                    <a:stretch>
                                      <a:fillRect/>
                                    </a:stretch>
                                  </pic:blipFill>
                                  <pic:spPr bwMode="auto">
                                    <a:xfrm>
                                      <a:off x="0" y="0"/>
                                      <a:ext cx="2476500" cy="2476500"/>
                                    </a:xfrm>
                                    <a:prstGeom prst="rect">
                                      <a:avLst/>
                                    </a:prstGeom>
                                  </pic:spPr>
                                </pic:pic>
                              </a:graphicData>
                            </a:graphic>
                          </wp:inline>
                        </w:drawing>
                      </w:r>
                    </w:p>
                    <w:p>
                      <w:pPr>
                        <w:pStyle w:val="Normal"/>
                        <w:rPr/>
                      </w:pPr>
                      <w:r>
                        <w:rPr/>
                        <w:t>Fig. 8.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5">
                <wp:simplePos x="0" y="0"/>
                <wp:positionH relativeFrom="margin">
                  <wp:align>left</wp:align>
                </wp:positionH>
                <wp:positionV relativeFrom="paragraph">
                  <wp:posOffset>384175</wp:posOffset>
                </wp:positionV>
                <wp:extent cx="6691630" cy="3483610"/>
                <wp:effectExtent l="0" t="0" r="0" b="0"/>
                <wp:wrapSquare wrapText="bothSides"/>
                <wp:docPr id="11"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12"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4">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5">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3"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9" descr="" title=""/>
                                    <pic:cNvPicPr>
                                      <a:picLocks noChangeAspect="1" noChangeArrowheads="1"/>
                                    </pic:cNvPicPr>
                                  </pic:nvPicPr>
                                  <pic:blipFill>
                                    <a:blip r:embed="rId13"/>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9. Model of Templo Mayor with steps that measured 80 m by 90 m at the base, after </w:t>
                      </w:r>
                      <w:hyperlink r:id="rId16">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7">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inline distT="0" distB="0" distL="0" distR="0">
                <wp:extent cx="2242185" cy="3352800"/>
                <wp:effectExtent l="0" t="0" r="0" b="0"/>
                <wp:docPr id="14"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5"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19">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inline>
            </w:drawing>
          </mc:Choice>
          <mc:Fallback>
            <w:pict>
              <v:rect fillcolor="#FFFFFF" strokecolor="#000000" strokeweight="0pt" style="position:absolute;rotation:0;width:176.55pt;height:264pt;mso-wrap-distance-left:0pt;mso-wrap-distance-right:0pt;mso-wrap-distance-top:0pt;mso-wrap-distance-bottom:0pt;margin-top:-0.35pt;mso-position-vertical-relative:text;margin-left:-0.35pt;mso-position-horizontal-relative:text">
                <v:textbox>
                  <w:txbxContent>
                    <w:p>
                      <w:pPr>
                        <w:pStyle w:val="Normal"/>
                        <w:rPr>
                          <w:lang w:val="en-US" w:eastAsia="en-US"/>
                        </w:rPr>
                      </w:pPr>
                      <w:r>
                        <w:rPr>
                          <w:lang w:val="en-US" w:eastAsia="en-US"/>
                        </w:rPr>
                        <w:drawing>
                          <wp:inline distT="0" distB="0" distL="0" distR="0">
                            <wp:extent cx="2355215" cy="2301240"/>
                            <wp:effectExtent l="0" t="0" r="0" b="0"/>
                            <wp:docPr id="16"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0" descr="" title=""/>
                                    <pic:cNvPicPr>
                                      <a:picLocks noChangeAspect="1" noChangeArrowheads="1"/>
                                    </pic:cNvPicPr>
                                  </pic:nvPicPr>
                                  <pic:blipFill>
                                    <a:blip r:embed="rId18"/>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Fig. 10. Astronomical chart for the architectural layout of El Mirador using the cardinal points, after </w:t>
                      </w:r>
                      <w:hyperlink r:id="rId20">
                        <w:r>
                          <w:rPr>
                            <w:rStyle w:val="InternetLink"/>
                            <w:sz w:val="20"/>
                            <w:szCs w:val="20"/>
                          </w:rPr>
                          <w:t>https://4.bp.blogspot.com</w:t>
                        </w:r>
                      </w:hyperlink>
                      <w:r>
                        <w:rPr>
                          <w:sz w:val="20"/>
                          <w:szCs w:val="20"/>
                        </w:rPr>
                        <w:t>. Note that eah pyramid has its own starandthat for the Nand S they are askew.</w:t>
                      </w:r>
                    </w:p>
                  </w:txbxContent>
                </v:textbox>
              </v:rect>
            </w:pict>
          </mc:Fallback>
        </mc:AlternateContent>
      </w:r>
    </w:p>
    <w:p>
      <w:pPr>
        <w:pStyle w:val="NormalWeb"/>
        <w:numPr>
          <w:ilvl w:val="0"/>
          <w:numId w:val="2"/>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7"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4" descr="" title=""/>
                    <pic:cNvPicPr>
                      <a:picLocks noChangeAspect="1" noChangeArrowheads="1"/>
                    </pic:cNvPicPr>
                  </pic:nvPicPr>
                  <pic:blipFill>
                    <a:blip r:embed="rId21"/>
                    <a:srcRect l="-166" t="-166" r="-166" b="-166"/>
                    <a:stretch>
                      <a:fillRect/>
                    </a:stretch>
                  </pic:blipFill>
                  <pic:spPr bwMode="auto">
                    <a:xfrm>
                      <a:off x="0" y="0"/>
                      <a:ext cx="159385" cy="159385"/>
                    </a:xfrm>
                    <a:prstGeom prst="rect">
                      <a:avLst/>
                    </a:prstGeom>
                  </pic:spPr>
                </pic:pic>
              </a:graphicData>
            </a:graphic>
          </wp:inline>
        </w:drawing>
      </w:r>
      <w:hyperlink r:id="rId22">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3">
        <w:r>
          <w:rPr>
            <w:rStyle w:val="InternetLink"/>
          </w:rPr>
          <w:t>Carlos Morales-Aguilar</w:t>
        </w:r>
      </w:hyperlink>
      <w:r>
        <w:rPr/>
        <w:t xml:space="preserve">, a Guatemalan archaeologist from </w:t>
      </w:r>
      <w:hyperlink r:id="rId24">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8"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 title=""/>
                    <pic:cNvPicPr>
                      <a:picLocks noChangeAspect="1" noChangeArrowheads="1"/>
                    </pic:cNvPicPr>
                  </pic:nvPicPr>
                  <pic:blipFill>
                    <a:blip r:embed="rId25"/>
                    <a:srcRect l="-5" t="-10" r="-5" b="-10"/>
                    <a:stretch>
                      <a:fillRect/>
                    </a:stretch>
                  </pic:blipFill>
                  <pic:spPr bwMode="auto">
                    <a:xfrm>
                      <a:off x="0" y="0"/>
                      <a:ext cx="6069330" cy="3240405"/>
                    </a:xfrm>
                    <a:prstGeom prst="rect">
                      <a:avLst/>
                    </a:prstGeom>
                  </pic:spPr>
                </pic:pic>
              </a:graphicData>
            </a:graphic>
          </wp:inline>
        </w:drawing>
      </w:r>
    </w:p>
    <w:p>
      <w:pPr>
        <w:pStyle w:val="Normal"/>
        <w:rPr/>
      </w:pPr>
      <w:r>
        <w:rPr/>
        <w:t>Fig. 11. Plan of the city of El Mirador after Šprajc, Morales-Aguilar and. Hansen 2009.</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9">
                <wp:simplePos x="0" y="0"/>
                <wp:positionH relativeFrom="margin">
                  <wp:align>left</wp:align>
                </wp:positionH>
                <wp:positionV relativeFrom="paragraph">
                  <wp:posOffset>-4445</wp:posOffset>
                </wp:positionV>
                <wp:extent cx="6333490" cy="3323590"/>
                <wp:effectExtent l="0" t="0" r="0" b="0"/>
                <wp:wrapSquare wrapText="bothSides"/>
                <wp:docPr id="19" name="Frame5"/>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20"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7">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2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3" descr="" title=""/>
                                    <pic:cNvPicPr>
                                      <a:picLocks noChangeAspect="1" noChangeArrowheads="1"/>
                                    </pic:cNvPicPr>
                                  </pic:nvPicPr>
                                  <pic:blipFill>
                                    <a:blip r:embed="rId26"/>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Fig. 12. El Mirador Reconstruction, after </w:t>
                      </w:r>
                      <w:hyperlink r:id="rId28">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31">
                <wp:simplePos x="0" y="0"/>
                <wp:positionH relativeFrom="margin">
                  <wp:align>right</wp:align>
                </wp:positionH>
                <wp:positionV relativeFrom="paragraph">
                  <wp:posOffset>3443605</wp:posOffset>
                </wp:positionV>
                <wp:extent cx="6383020" cy="4215130"/>
                <wp:effectExtent l="0" t="0" r="0" b="0"/>
                <wp:wrapSquare wrapText="bothSides"/>
                <wp:docPr id="22" name="Frame4"/>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4"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title=""/>
                                    <pic:cNvPicPr>
                                      <a:picLocks noChangeAspect="1" noChangeArrowheads="1"/>
                                    </pic:cNvPicPr>
                                  </pic:nvPicPr>
                                  <pic:blipFill>
                                    <a:blip r:embed="rId29"/>
                                    <a:srcRect l="-6" t="-10" r="-6" b="-10"/>
                                    <a:stretch>
                                      <a:fillRect/>
                                    </a:stretch>
                                  </pic:blipFill>
                                  <pic:spPr bwMode="auto">
                                    <a:xfrm>
                                      <a:off x="0" y="0"/>
                                      <a:ext cx="6310630" cy="3815715"/>
                                    </a:xfrm>
                                    <a:prstGeom prst="rect">
                                      <a:avLst/>
                                    </a:prstGeom>
                                  </pic:spPr>
                                </pic:pic>
                              </a:graphicData>
                            </a:graphic>
                          </wp:inline>
                        </w:drawing>
                      </w:r>
                    </w:p>
                    <w:p>
                      <w:pPr>
                        <w:pStyle w:val="Normal"/>
                        <w:rPr/>
                      </w:pPr>
                      <w:r>
                        <w:rPr/>
                        <w:t>Fig. 13. 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It is amazing that the Maya knew that Nebula M42 is really a star generator.  It really is a creator. A united vision that brought all this together.  This is particularly evident when we look at buildings such as this is a -- a 2D map done.  And you can see the 1-2-3 pattern, 1-2-3, 1-2-3, 1-2-3-, 1-2-3, 1-2-3, … .  The triadic pattern dominates this early triadic architecture.  And this is one of the things that's characteristic of this period of time by about 300 BCE.  We don't find </w:t>
      </w:r>
      <w:r>
        <w:rPr/>
        <w:t>i</w:t>
      </w:r>
      <w:r>
        <w:rPr/>
        <w:t xml:space="preserve">t earlier than that.  </w:t>
      </w:r>
      <w:r>
        <mc:AlternateContent>
          <mc:Choice Requires="wps">
            <w:drawing>
              <wp:anchor behindDoc="0" distT="45720" distB="45720" distL="114935" distR="114935" simplePos="0" locked="0" layoutInCell="1" allowOverlap="1" relativeHeight="30">
                <wp:simplePos x="0" y="0"/>
                <wp:positionH relativeFrom="margin">
                  <wp:posOffset>-43815</wp:posOffset>
                </wp:positionH>
                <wp:positionV relativeFrom="paragraph">
                  <wp:posOffset>491490</wp:posOffset>
                </wp:positionV>
                <wp:extent cx="6463030" cy="3392170"/>
                <wp:effectExtent l="0" t="0" r="0" b="0"/>
                <wp:wrapSquare wrapText="bothSides"/>
                <wp:docPr id="25" name="Frame6"/>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214110" cy="2871470"/>
                                  <wp:effectExtent l="0" t="0" r="0" b="0"/>
                                  <wp:docPr id="26"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lang w:val="en-US" w:eastAsia="en-US"/>
                        </w:rPr>
                      </w:pPr>
                      <w:r>
                        <w:rPr>
                          <w:lang w:val="en-US" w:eastAsia="en-US"/>
                        </w:rPr>
                        <w:drawing>
                          <wp:inline distT="0" distB="0" distL="0" distR="0">
                            <wp:extent cx="6214110" cy="2871470"/>
                            <wp:effectExtent l="0" t="0" r="0" b="0"/>
                            <wp:docPr id="27"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2" descr="" title=""/>
                                    <pic:cNvPicPr>
                                      <a:picLocks noChangeAspect="1" noChangeArrowheads="1"/>
                                    </pic:cNvPicPr>
                                  </pic:nvPicPr>
                                  <pic:blipFill>
                                    <a:blip r:embed="rId30"/>
                                    <a:srcRect l="-3" t="-8" r="-3" b="-8"/>
                                    <a:stretch>
                                      <a:fillRect/>
                                    </a:stretch>
                                  </pic:blipFill>
                                  <pic:spPr bwMode="auto">
                                    <a:xfrm>
                                      <a:off x="0" y="0"/>
                                      <a:ext cx="6214110" cy="2871470"/>
                                    </a:xfrm>
                                    <a:prstGeom prst="rect">
                                      <a:avLst/>
                                    </a:prstGeom>
                                  </pic:spPr>
                                </pic:pic>
                              </a:graphicData>
                            </a:graphic>
                          </wp:inline>
                        </w:drawing>
                      </w:r>
                    </w:p>
                    <w:p>
                      <w:pPr>
                        <w:pStyle w:val="Normal"/>
                        <w:rPr/>
                      </w:pPr>
                      <w:r>
                        <w:rPr/>
                        <w:t>Fig. 14. El Tigre, ultimate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8">
                <wp:simplePos x="0" y="0"/>
                <wp:positionH relativeFrom="margin">
                  <wp:align>left</wp:align>
                </wp:positionH>
                <wp:positionV relativeFrom="paragraph">
                  <wp:posOffset>3799205</wp:posOffset>
                </wp:positionV>
                <wp:extent cx="2588895" cy="3992880"/>
                <wp:effectExtent l="0" t="0" r="0" b="0"/>
                <wp:wrapSquare wrapText="bothSides"/>
                <wp:docPr id="28" name="Frame7"/>
                <a:graphic xmlns:a="http://schemas.openxmlformats.org/drawingml/2006/main">
                  <a:graphicData uri="http://schemas.microsoft.com/office/word/2010/wordprocessingShape">
                    <wps:wsp>
                      <wps:cNvSpPr txBox="1"/>
                      <wps:spPr>
                        <a:xfrm>
                          <a:off x="0" y="0"/>
                          <a:ext cx="258889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9"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8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30"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3" descr="" title=""/>
                                    <pic:cNvPicPr>
                                      <a:picLocks noChangeAspect="1" noChangeArrowheads="1"/>
                                    </pic:cNvPicPr>
                                  </pic:nvPicPr>
                                  <pic:blipFill>
                                    <a:blip r:embed="rId31"/>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Fig. 15. Stela 2 at El Mirador after </w:t>
                      </w:r>
                      <w:hyperlink r:id="rId34">
                        <w:r>
                          <w:rPr>
                            <w:rStyle w:val="InternetLink"/>
                          </w:rPr>
                          <w:t>Greg Willis</w:t>
                        </w:r>
                      </w:hyperlink>
                      <w:r>
                        <w:rPr>
                          <w:rStyle w:val="Mwmmvauthor"/>
                        </w:rPr>
                        <w:t xml:space="preserve"> from Arlington, VA </w:t>
                      </w:r>
                      <w:r>
                        <w:rPr>
                          <w:rStyle w:val="Mwmmvdatetime"/>
                        </w:rPr>
                        <w:t xml:space="preserve">20 February 2008, </w:t>
                      </w:r>
                      <w:hyperlink r:id="rId35">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6">
        <w:r>
          <w:rPr>
            <w:rStyle w:val="InternetLink"/>
          </w:rPr>
          <w:t>El Tigre</w:t>
        </w:r>
      </w:hyperlink>
      <w:r>
        <w:rPr/>
        <w:t>", with height 55 metres (180 ft); the other is called "</w:t>
      </w:r>
      <w:hyperlink r:id="rId37">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8">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9">
        <w:r>
          <w:rPr>
            <w:rStyle w:val="InternetLink"/>
          </w:rPr>
          <w:t>Los Monos</w:t>
        </w:r>
      </w:hyperlink>
      <w:r>
        <w:rPr/>
        <w:t xml:space="preserve">" complex is very large (48 meters high) although not as well known. Most of the structures were originally faced with cut stone which was then decorated with large </w:t>
      </w:r>
      <w:hyperlink r:id="rId40">
        <w:r>
          <w:rPr>
            <w:rStyle w:val="InternetLink"/>
          </w:rPr>
          <w:t>stucco</w:t>
        </w:r>
      </w:hyperlink>
      <w:r>
        <w:rPr/>
        <w:t xml:space="preserve"> masks depicting the deities of </w:t>
      </w:r>
      <w:hyperlink r:id="rId41">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20">
                <wp:simplePos x="0" y="0"/>
                <wp:positionH relativeFrom="margin">
                  <wp:align>left</wp:align>
                </wp:positionH>
                <wp:positionV relativeFrom="paragraph">
                  <wp:posOffset>321945</wp:posOffset>
                </wp:positionV>
                <wp:extent cx="2340610" cy="4750435"/>
                <wp:effectExtent l="0" t="0" r="0" b="0"/>
                <wp:wrapSquare wrapText="bothSides"/>
                <wp:docPr id="31" name="Frame8"/>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4"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4" descr="" title=""/>
                                    <pic:cNvPicPr>
                                      <a:picLocks noChangeAspect="1" noChangeArrowheads="1"/>
                                    </pic:cNvPicPr>
                                  </pic:nvPicPr>
                                  <pic:blipFill>
                                    <a:blip r:embed="rId42"/>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Fig. 16.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5"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5" descr="" title=""/>
                                    <pic:cNvPicPr>
                                      <a:picLocks noChangeAspect="1" noChangeArrowheads="1"/>
                                    </pic:cNvPicPr>
                                  </pic:nvPicPr>
                                  <pic:blipFill>
                                    <a:blip r:embed="rId43"/>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Fig. 17. 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1">
                <wp:simplePos x="0" y="0"/>
                <wp:positionH relativeFrom="column">
                  <wp:posOffset>2357755</wp:posOffset>
                </wp:positionH>
                <wp:positionV relativeFrom="paragraph">
                  <wp:posOffset>292735</wp:posOffset>
                </wp:positionV>
                <wp:extent cx="4017010" cy="6988810"/>
                <wp:effectExtent l="0" t="0" r="0" b="0"/>
                <wp:wrapSquare wrapText="bothSides"/>
                <wp:docPr id="36" name="Frame9"/>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9"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6" descr="" title=""/>
                                    <pic:cNvPicPr>
                                      <a:picLocks noChangeAspect="1" noChangeArrowheads="1"/>
                                    </pic:cNvPicPr>
                                  </pic:nvPicPr>
                                  <pic:blipFill>
                                    <a:blip r:embed="rId44"/>
                                    <a:srcRect l="-9" t="-12" r="-9" b="-12"/>
                                    <a:stretch>
                                      <a:fillRect/>
                                    </a:stretch>
                                  </pic:blipFill>
                                  <pic:spPr bwMode="auto">
                                    <a:xfrm>
                                      <a:off x="0" y="0"/>
                                      <a:ext cx="3953510" cy="3238500"/>
                                    </a:xfrm>
                                    <a:prstGeom prst="rect">
                                      <a:avLst/>
                                    </a:prstGeom>
                                  </pic:spPr>
                                </pic:pic>
                              </a:graphicData>
                            </a:graphic>
                          </wp:inline>
                        </w:drawing>
                      </w:r>
                    </w:p>
                    <w:p>
                      <w:pPr>
                        <w:pStyle w:val="Normal"/>
                        <w:rPr/>
                      </w:pPr>
                      <w:r>
                        <w:rPr/>
                        <w:t xml:space="preserve">Fig. 18. Original Pristine wall fresco. </w:t>
                      </w:r>
                    </w:p>
                    <w:p>
                      <w:pPr>
                        <w:pStyle w:val="Normal"/>
                        <w:rPr>
                          <w:lang w:val="en-US" w:eastAsia="en-US"/>
                        </w:rPr>
                      </w:pPr>
                      <w:r>
                        <w:rPr>
                          <w:lang w:val="en-US" w:eastAsia="en-US"/>
                        </w:rPr>
                        <w:drawing>
                          <wp:inline distT="0" distB="0" distL="0" distR="0">
                            <wp:extent cx="3786505" cy="2691765"/>
                            <wp:effectExtent l="0" t="0" r="0" b="0"/>
                            <wp:docPr id="40"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7" descr="" title=""/>
                                    <pic:cNvPicPr>
                                      <a:picLocks noChangeAspect="1" noChangeArrowheads="1"/>
                                    </pic:cNvPicPr>
                                  </pic:nvPicPr>
                                  <pic:blipFill>
                                    <a:blip r:embed="rId45"/>
                                    <a:srcRect l="-8" t="-11" r="-8" b="-11"/>
                                    <a:stretch>
                                      <a:fillRect/>
                                    </a:stretch>
                                  </pic:blipFill>
                                  <pic:spPr bwMode="auto">
                                    <a:xfrm>
                                      <a:off x="0" y="0"/>
                                      <a:ext cx="3786505" cy="2691765"/>
                                    </a:xfrm>
                                    <a:prstGeom prst="rect">
                                      <a:avLst/>
                                    </a:prstGeom>
                                  </pic:spPr>
                                </pic:pic>
                              </a:graphicData>
                            </a:graphic>
                          </wp:inline>
                        </w:drawing>
                      </w:r>
                    </w:p>
                    <w:p>
                      <w:pPr>
                        <w:pStyle w:val="Normal"/>
                        <w:rPr/>
                      </w:pPr>
                      <w:r>
                        <w:rPr/>
                        <w:t>Fig. 19. Lineally arranged petroglyphs suggestive of proto-writing.</w:t>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41"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title=""/>
                    <pic:cNvPicPr>
                      <a:picLocks noChangeAspect="1" noChangeArrowheads="1"/>
                    </pic:cNvPicPr>
                  </pic:nvPicPr>
                  <pic:blipFill>
                    <a:blip r:embed="rId46"/>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2"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title=""/>
                    <pic:cNvPicPr>
                      <a:picLocks noChangeAspect="1" noChangeArrowheads="1"/>
                    </pic:cNvPicPr>
                  </pic:nvPicPr>
                  <pic:blipFill>
                    <a:blip r:embed="rId47"/>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20.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3"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title=""/>
                    <pic:cNvPicPr>
                      <a:picLocks noChangeAspect="1" noChangeArrowheads="1"/>
                    </pic:cNvPicPr>
                  </pic:nvPicPr>
                  <pic:blipFill>
                    <a:blip r:embed="rId48"/>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 title=""/>
                    <pic:cNvPicPr>
                      <a:picLocks noChangeAspect="1" noChangeArrowheads="1"/>
                    </pic:cNvPicPr>
                  </pic:nvPicPr>
                  <pic:blipFill>
                    <a:blip r:embed="rId49"/>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title=""/>
                    <pic:cNvPicPr>
                      <a:picLocks noChangeAspect="1" noChangeArrowheads="1"/>
                    </pic:cNvPicPr>
                  </pic:nvPicPr>
                  <pic:blipFill>
                    <a:blip r:embed="rId50"/>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title=""/>
                    <pic:cNvPicPr>
                      <a:picLocks noChangeAspect="1" noChangeArrowheads="1"/>
                    </pic:cNvPicPr>
                  </pic:nvPicPr>
                  <pic:blipFill>
                    <a:blip r:embed="rId51"/>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 title=""/>
                    <pic:cNvPicPr>
                      <a:picLocks noChangeAspect="1" noChangeArrowheads="1"/>
                    </pic:cNvPicPr>
                  </pic:nvPicPr>
                  <pic:blipFill>
                    <a:blip r:embed="rId52"/>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8"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title=""/>
                    <pic:cNvPicPr>
                      <a:picLocks noChangeAspect="1" noChangeArrowheads="1"/>
                    </pic:cNvPicPr>
                  </pic:nvPicPr>
                  <pic:blipFill>
                    <a:blip r:embed="rId53"/>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9"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8" descr="" title=""/>
                    <pic:cNvPicPr>
                      <a:picLocks noChangeAspect="1" noChangeArrowheads="1"/>
                    </pic:cNvPicPr>
                  </pic:nvPicPr>
                  <pic:blipFill>
                    <a:blip r:embed="rId54"/>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21. a-f. Four Mezcala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Mezcala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rFonts w:eastAsia="Code2000;MS Mincho"/>
          <w:bCs/>
          <w:lang w:val="fr-FR"/>
        </w:rPr>
      </w:pPr>
      <w:r>
        <w:rPr>
          <w:rFonts w:eastAsia="Code2000;MS Mincho"/>
          <w:bCs/>
          <w:lang w:val="fr-FR"/>
        </w:rPr>
        <w:t>Borbolla, D. F. R. de la, 1964. — « Escultura precolombina de Guerrero ». In</w:t>
      </w:r>
    </w:p>
    <w:p>
      <w:pPr>
        <w:pStyle w:val="Normal"/>
        <w:rPr/>
      </w:pPr>
      <w:r>
        <w:rPr>
          <w:rFonts w:eastAsia="Code2000;MS Mincho"/>
          <w:bCs/>
          <w:i/>
          <w:lang w:val="fr-FR"/>
        </w:rPr>
        <w:t>Escultura precolombina de Guerrero</w:t>
      </w:r>
      <w:r>
        <w:rPr>
          <w:rFonts w:eastAsia="Code2000;MS Mincho"/>
          <w:bCs/>
          <w:lang w:val="fr-FR"/>
        </w:rPr>
        <w:t>,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i/>
          <w:lang w:val="fr-FR"/>
        </w:rPr>
        <w:t>Handbook</w:t>
      </w:r>
    </w:p>
    <w:p>
      <w:pPr>
        <w:pStyle w:val="Normal"/>
        <w:rPr/>
      </w:pPr>
      <w:r>
        <w:rPr>
          <w:rFonts w:eastAsia="Code2000;MS Mincho"/>
          <w:bCs/>
          <w:i/>
          <w:lang w:val="fr-FR"/>
        </w:rPr>
        <w:t>of Middle American Indians</w:t>
      </w:r>
      <w:r>
        <w:rPr>
          <w:rFonts w:eastAsia="Code2000;MS Mincho"/>
          <w:bCs/>
          <w:lang w:val="fr-FR"/>
        </w:rPr>
        <w:t>,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Contreras, E., 1979. — « Una ofrenda en los restos del Templo Mayor de Tenochtilan ». </w:t>
      </w:r>
      <w:r>
        <w:rPr>
          <w:rFonts w:eastAsia="Code2000;MS Mincho"/>
        </w:rPr>
        <w:t xml:space="preserve">In </w:t>
      </w:r>
      <w:r>
        <w:rPr>
          <w:rFonts w:eastAsia="Code2000;MS Mincho"/>
          <w:bCs/>
          <w:i/>
          <w:lang w:val="fr-FR"/>
        </w:rPr>
        <w:t>Trabajos arqueolôgicos en el centro de la ciudad de Mexico</w:t>
      </w:r>
      <w:r>
        <w:rPr>
          <w:rFonts w:eastAsia="Code2000;MS Mincho"/>
          <w:bCs/>
          <w:lang w:val="fr-FR"/>
        </w:rPr>
        <w:t>,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rFonts w:eastAsia="Code2000;MS Mincho"/>
          <w:bCs/>
        </w:rPr>
      </w:pPr>
      <w:r>
        <w:rPr>
          <w:rFonts w:eastAsia="Code2000;MS Mincho"/>
          <w:bCs/>
        </w:rPr>
        <w:t xml:space="preserve">Easby, E. K. and J. F. Scott, 1970. — </w:t>
      </w:r>
      <w:r>
        <w:rPr>
          <w:rFonts w:eastAsia="Code2000;MS Mincho"/>
          <w:bCs/>
          <w:i/>
        </w:rPr>
        <w:t>Before Cortěs : Sculpture of Middle America</w:t>
      </w:r>
      <w:r>
        <w:rPr>
          <w:rFonts w:eastAsia="Code2000;MS Mincho"/>
          <w:bCs/>
        </w:rPr>
        <w:t>. New York,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 xml:space="preserve">Mayor». In E. Hill Boone, ed., </w:t>
      </w:r>
      <w:r>
        <w:rPr>
          <w:rFonts w:eastAsia="Code2000;MS Mincho"/>
          <w:bCs/>
          <w:i/>
        </w:rPr>
        <w:t>The Aztec Templo Mayor</w:t>
      </w:r>
      <w:r>
        <w:rPr>
          <w:rFonts w:eastAsia="Code2000;MS Mincho"/>
          <w:bCs/>
        </w:rPr>
        <w:t>, Washington, DC: Dumbarton Oaks Research Library and Collection, pp. 145-160.</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pPr>
      <w:r>
        <w:rPr>
          <w:rFonts w:eastAsia="Code2000;MS Mincho"/>
          <w:bCs/>
          <w:lang w:val="fr-FR"/>
        </w:rPr>
        <w:t xml:space="preserve">en el Templo Mayor ». In </w:t>
      </w:r>
      <w:r>
        <w:rPr>
          <w:rFonts w:eastAsia="Code2000;MS Mincho"/>
          <w:bCs/>
          <w:i/>
          <w:lang w:val="fr-FR"/>
        </w:rPr>
        <w:t>Arqueologia y Ethnohistoria del Estado de Guerrero</w:t>
      </w:r>
      <w:r>
        <w:rPr>
          <w:rFonts w:eastAsia="Code2000;MS Mincho"/>
          <w:bCs/>
          <w:lang w:val="fr-FR"/>
        </w:rPr>
        <w:t xml:space="preserve">, </w:t>
      </w:r>
    </w:p>
    <w:p>
      <w:pPr>
        <w:pStyle w:val="Normal"/>
        <w:autoSpaceDE w:val="false"/>
        <w:rPr>
          <w:rFonts w:eastAsia="Code2000;MS Mincho"/>
          <w:bCs/>
          <w:lang w:val="fr-FR"/>
        </w:rPr>
      </w:pPr>
      <w:r>
        <w:rPr>
          <w:rFonts w:eastAsia="Code2000;MS Mincho"/>
          <w:bCs/>
          <w:lang w:val="fr-FR"/>
        </w:rPr>
        <w:t>Mexico City : INAH &amp; Gobierno del Estado de Guerrero, pp. 255-263</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lang w:val="fr-FR"/>
        </w:rPr>
        <w:t xml:space="preserve">Martinez Donjuan, G., 1986. — « Teopantecuanitlan, Guerrero». </w:t>
      </w:r>
      <w:r>
        <w:rPr>
          <w:rFonts w:eastAsia="Code2000;MS Mincho"/>
          <w:bCs/>
          <w:i/>
          <w:lang w:val="fr-FR"/>
        </w:rPr>
        <w:t>In Arqueologia y</w:t>
      </w:r>
    </w:p>
    <w:p>
      <w:pPr>
        <w:pStyle w:val="Normal"/>
        <w:autoSpaceDE w:val="false"/>
        <w:rPr>
          <w:rFonts w:eastAsia="Calibri"/>
          <w:bCs/>
          <w:lang w:val="fr-FR"/>
        </w:rPr>
      </w:pPr>
      <w:r>
        <w:rPr>
          <w:rFonts w:eastAsia="Code2000;MS Mincho"/>
          <w:bCs/>
          <w:i/>
          <w:lang w:val="fr-FR"/>
        </w:rPr>
        <w:t>Etnohistoria del Estado de Guerrer</w:t>
      </w:r>
      <w:r>
        <w:rPr>
          <w:rFonts w:eastAsia="Code2000;MS Mincho"/>
          <w:bCs/>
          <w:lang w:val="fr-FR"/>
        </w:rPr>
        <w:t>o. Mexico City: INAH &amp; Gobierno del Estado de Guerrero, pp. 55-82.</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pPr>
      <w:r>
        <w:rPr>
          <w:lang w:val="fr-FR"/>
        </w:rPr>
        <w:t xml:space="preserve">2008. « Nuevas perspectivas en los modelos de asentamiento Maya durante el Preclásico en las Tierras Bajas: Los sitios de Nakbe y El Mirador, Petén. In J. P. Laporte, B. Arroyo y H. Mejía, eds., </w:t>
      </w:r>
      <w:r>
        <w:rPr>
          <w:i/>
          <w:lang w:val="fr-FR"/>
        </w:rPr>
        <w:t>XXI Simposio de Investigaciones Arqueológicas en Guatemala, 2007</w:t>
      </w:r>
      <w:r>
        <w:rPr>
          <w:lang w:val="fr-FR"/>
        </w:rPr>
        <w:t xml:space="preserve">, Guatemala City: </w:t>
      </w:r>
      <w:r>
        <w:rPr/>
        <w:t xml:space="preserve">Museo Nacional de Arqueología y Etnología, Guatemala (versión digital), pp. </w:t>
      </w:r>
      <w:r>
        <w:rPr>
          <w:lang w:val="fr-FR"/>
        </w:rPr>
        <w:t xml:space="preserve">pp.198-213. </w:t>
      </w:r>
      <w:r>
        <w:rPr/>
        <w:t xml:space="preserve"> </w:t>
      </w:r>
    </w:p>
    <w:p>
      <w:pPr>
        <w:pStyle w:val="NormalWeb"/>
        <w:spacing w:before="0" w:after="0"/>
        <w:rPr/>
      </w:pPr>
      <w:r>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i/>
        </w:rPr>
        <w:t>RMEA</w:t>
      </w:r>
      <w:r>
        <w:rPr>
          <w:rFonts w:eastAsia="Code2000;MS Mincho"/>
          <w:bCs/>
        </w:rPr>
        <w:t xml:space="preserve">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Paradis, Louise Iseut. 1981, ‘Guerrero and the Olmec’ In Stirling, Matthew Williams, Coe, Michael D., and Grove, David C, eds.,</w:t>
      </w:r>
      <w:r>
        <w:rPr>
          <w:rStyle w:val="Emphasis"/>
        </w:rPr>
        <w:t xml:space="preserve"> The Olmec and their Neighbors</w:t>
      </w:r>
      <w:r>
        <w:rPr/>
        <w:t>, Washington, DC: Dumbarton Oaks, pp. 195–208.</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pPr>
      <w:r>
        <w:rPr>
          <w:lang w:val="fr-FR"/>
        </w:rPr>
        <w:t xml:space="preserve">Reyna Robles, Rosa Maria. 2003. </w:t>
      </w:r>
      <w:r>
        <w:rPr>
          <w:i/>
          <w:lang w:val="fr-FR"/>
        </w:rPr>
        <w:t>La Organera-Xochipala, un sitio del Epiclásico en la región Mezcala de Guerrero</w:t>
      </w:r>
      <w:r>
        <w:rPr>
          <w:lang w:val="fr-FR"/>
        </w:rPr>
        <w:t>. México City : INAH.</w:t>
      </w:r>
    </w:p>
    <w:p>
      <w:pPr>
        <w:pStyle w:val="NormalWeb"/>
        <w:rPr/>
      </w:pPr>
      <w:r>
        <w:rPr>
          <w:lang w:val="fr-FR"/>
        </w:rPr>
        <w:t>Reyna Robles, Rosa Maria. 2006. La cultura arqueológica Mezcala, México, INAH (Científica, 487), 2006.</w:t>
      </w:r>
    </w:p>
    <w:p>
      <w:pPr>
        <w:pStyle w:val="NormalWeb"/>
        <w:rPr/>
      </w:pPr>
      <w:r>
        <w:rPr>
          <w:lang w:val="fr-FR"/>
        </w:rPr>
        <w:t>Reyna Robles, Rosa Maria. 2012. “La relación Teotihuacán-Guerrero: datos e interpretación”, ponencia presentada en el Simposio Teotihuacán y el Occidente. Interacción, Símbolos de Poder y Procesos Políticos, 29 de noviembre de 2012.</w:t>
      </w:r>
    </w:p>
    <w:p>
      <w:pPr>
        <w:pStyle w:val="NormalWeb"/>
        <w:rPr/>
      </w:pPr>
      <w:r>
        <w:rPr>
          <w:lang w:val="fr-FR"/>
        </w:rPr>
        <w:t>Reyna Robles, Rosa Maria. 2013a. “Cálculos y movimientos de población: el Clásico en Guerrero”, ponencia presentada en el Seminario sobre el Norte de Guerrero, México, Coordinación Nacional de Antropología-INAH, 16 de abril de 2013.</w:t>
      </w:r>
    </w:p>
    <w:p>
      <w:pPr>
        <w:pStyle w:val="NormalWeb"/>
        <w:rPr/>
      </w:pPr>
      <w:r>
        <w:rPr>
          <w:lang w:val="fr-FR"/>
        </w:rPr>
        <w:t>Reyna Robles, Rosa Maria. 2013b. “Economía y rutas de intercambio”, ponencia presentada en el Seminario sobre el Norte de Guerrero, Coordinación Nacional de Antropología-INAH, 18 de junio de 2013.</w:t>
      </w:r>
    </w:p>
    <w:p>
      <w:pPr>
        <w:pStyle w:val="NormalWeb"/>
        <w:rPr/>
      </w:pPr>
      <w:r>
        <w:rPr>
          <w:lang w:val="fr-FR"/>
        </w:rPr>
        <w:t>Reyna Robles, Rosa Maria and Elizabeth Galeana. 2010. “El Clásico en Guerrero: ¿interacción o movimientos sociales?”, ponencia presentada en la IV Mesa Redonda El Conocimiento Antropológico e Histórico sobre Guerrero: Movimientos Sociales, Causas y Consecuencias, Taxco, 18-21 de agosto de 2010.</w:t>
      </w:r>
    </w:p>
    <w:p>
      <w:pPr>
        <w:pStyle w:val="NormalWeb"/>
        <w:rPr/>
      </w:pPr>
      <w:r>
        <w:rPr>
          <w:lang w:val="fr-FR"/>
        </w:rPr>
        <w:t xml:space="preserve">Reyna Robles, Rosa Maria and Lauro González Quintero. 1998. </w:t>
      </w:r>
      <w:r>
        <w:rPr>
          <w:i/>
          <w:lang w:val="fr-FR"/>
        </w:rPr>
        <w:t>Rescate arqueológico de un espacio funerario de época olmeca en Chilpancingo, Guerrero, México</w:t>
      </w:r>
      <w:r>
        <w:rPr>
          <w:lang w:val="fr-FR"/>
        </w:rPr>
        <w:t>. Mexico City : INAH.</w:t>
      </w:r>
    </w:p>
    <w:p>
      <w:pPr>
        <w:pStyle w:val="NormalWeb"/>
        <w:rPr/>
      </w:pPr>
      <w:r>
        <w:rPr>
          <w:lang w:val="fr-FR"/>
        </w:rPr>
        <w:t>Reyna Robles, Rosa Maria and Omar Silis,. 2014.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 xml:space="preserve">Rodriguez Betancourt, F., 1986. — « Desarrollo cultural en la region de Mezcala-Teteladel Rio ». </w:t>
      </w:r>
      <w:r>
        <w:rPr>
          <w:rFonts w:eastAsia="Code2000;MS Mincho"/>
          <w:bCs/>
          <w:i/>
          <w:lang w:val="fr-FR"/>
        </w:rPr>
        <w:t>Arqueologia y Etnohistoria del Estado de Guerrero</w:t>
      </w:r>
      <w:r>
        <w:rPr>
          <w:rFonts w:eastAsia="Code2000;MS Mincho"/>
          <w:bCs/>
          <w:lang w:val="fr-FR"/>
        </w:rPr>
        <w:t>. Mexico City: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xml:space="preserve">., 1961. — « Très estelas en Xochicalco, » </w:t>
      </w:r>
      <w:r>
        <w:rPr>
          <w:rFonts w:eastAsia="Code2000;MS Mincho"/>
          <w:bCs/>
          <w:i/>
          <w:lang w:val="fr-FR"/>
        </w:rPr>
        <w:t>RMEA</w:t>
      </w:r>
      <w:r>
        <w:rPr>
          <w:rFonts w:eastAsia="Code2000;MS Mincho"/>
          <w:bCs/>
          <w:lang w:val="fr-FR"/>
        </w:rPr>
        <w:t>, 17, 39-65, Mexico.</w:t>
      </w:r>
    </w:p>
    <w:p>
      <w:pPr>
        <w:pStyle w:val="NormalWeb"/>
        <w:rPr/>
      </w:pPr>
      <w:r>
        <w:rPr>
          <w:lang w:val="fr-FR"/>
        </w:rPr>
        <w:t xml:space="preserve">Schmidt, Paul, </w:t>
      </w:r>
      <w:r>
        <w:rPr>
          <w:i/>
          <w:lang w:val="fr-FR"/>
        </w:rPr>
        <w:t>Arqueología de Xochipala, Guerrero, México</w:t>
      </w:r>
      <w:r>
        <w:rPr>
          <w:lang w:val="fr-FR"/>
        </w:rPr>
        <w:t>. IIa. Mexico City : UNAM, 1990.</w:t>
      </w:r>
    </w:p>
    <w:p>
      <w:pPr>
        <w:pStyle w:val="NormalWeb"/>
        <w:rPr>
          <w:lang w:val="fr-FR"/>
        </w:rPr>
      </w:pPr>
      <w:r>
        <w:rPr>
          <w:lang w:val="fr-FR"/>
        </w:rPr>
        <w:t xml:space="preserve">Serra Puche, Mari Carmen. 1998. </w:t>
      </w:r>
      <w:r>
        <w:rPr>
          <w:i/>
          <w:lang w:val="fr-FR"/>
        </w:rPr>
        <w:t>Xochitécatl, México, Gobierno del Estado de Tlaxcala</w:t>
      </w:r>
      <w:r>
        <w:rPr>
          <w:lang w:val="fr-FR"/>
        </w:rPr>
        <w:t>. Mexico City :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5">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6">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7">
        <w:r>
          <w:rPr>
            <w:rStyle w:val="InternetLink"/>
            <w:i/>
            <w:iCs/>
          </w:rPr>
          <w:t>"Between Death and Divinity. Rethinking the Significance of Triadic Groups in Ancient Maya Culture"</w:t>
        </w:r>
      </w:hyperlink>
      <w:r>
        <w:rPr>
          <w:rStyle w:val="HTMLCite"/>
          <w:i w:val="false"/>
        </w:rPr>
        <w:t xml:space="preserve"> (</w:t>
      </w:r>
      <w:hyperlink r:id="rId58">
        <w:r>
          <w:rPr>
            <w:rStyle w:val="InternetLink"/>
            <w:i/>
            <w:iCs/>
          </w:rPr>
          <w:t>PDF</w:t>
        </w:r>
      </w:hyperlink>
      <w:r>
        <w:rPr>
          <w:rStyle w:val="HTMLCite"/>
          <w:i w:val="false"/>
        </w:rPr>
        <w:t xml:space="preserve">). PhD Dissertation. Warsaw, Poland: </w:t>
      </w:r>
      <w:hyperlink r:id="rId59">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tabs>
          <w:tab w:val="clear" w:pos="720"/>
          <w:tab w:val="left" w:pos="969" w:leader="none"/>
        </w:tabs>
        <w:ind w:start="-798" w:hanging="0"/>
        <w:rPr/>
      </w:pPr>
      <w:r>
        <w:rPr/>
      </w:r>
    </w:p>
    <w:p>
      <w:pPr>
        <w:pStyle w:val="Normal"/>
        <w:tabs>
          <w:tab w:val="clear" w:pos="720"/>
          <w:tab w:val="left" w:pos="969" w:leader="none"/>
        </w:tabs>
        <w:ind w:start="-798" w:hanging="0"/>
        <w:rPr>
          <w:lang w:val="en-US" w:eastAsia="en-US"/>
        </w:rPr>
      </w:pPr>
      <w:r>
        <w:rPr>
          <w:lang w:val="en-US" w:eastAsia="en-US"/>
        </w:rPr>
      </w:r>
    </w:p>
    <w:p>
      <w:pPr>
        <w:pStyle w:val="Normal"/>
        <w:rPr>
          <w:lang w:val="en-US" w:eastAsia="en-US"/>
        </w:rPr>
      </w:pPr>
      <w:r>
        <w:rPr>
          <w:lang w:val="en-US" w:eastAsia="en-US"/>
        </w:rPr>
      </w:r>
      <w:r>
        <w:br w:type="page"/>
      </w:r>
    </w:p>
    <w:p>
      <w:pPr>
        <w:pStyle w:val="Normal"/>
        <w:rPr/>
      </w:pPr>
      <w:r>
        <w:rPr>
          <w:rStyle w:val="Ngbindingngscope"/>
        </w:rPr>
        <w:t xml:space="preserve"> </w:t>
      </w:r>
    </w:p>
    <w:p>
      <w:pPr>
        <w:pStyle w:val="Normal"/>
        <w:rPr/>
      </w:pPr>
      <w:r>
        <w:rPr/>
      </w:r>
    </w:p>
    <w:p>
      <w:pPr>
        <w:pStyle w:val="Normal"/>
        <w:rPr/>
      </w:pPr>
      <w:hyperlink r:id="rId60" w:tgtFrame="_blank">
        <w:r>
          <w:rPr>
            <w:rStyle w:val="InternetLink"/>
            <w:vanish/>
          </w:rPr>
          <w:t>mezcala precolumbian head</w:t>
        </w:r>
      </w:hyperlink>
      <w:r>
        <w:rPr>
          <w:vanish/>
        </w:rPr>
        <w:t xml:space="preserve"> </w:t>
      </w:r>
    </w:p>
    <w:tbl>
      <w:tblPr>
        <w:tblW w:w="162" w:type="dxa"/>
        <w:jc w:val="start"/>
        <w:tblInd w:w="-45" w:type="dxa"/>
        <w:tblBorders/>
        <w:tblCellMar>
          <w:top w:w="15" w:type="dxa"/>
          <w:start w:w="15" w:type="dxa"/>
          <w:bottom w:w="15" w:type="dxa"/>
          <w:end w:w="15" w:type="dxa"/>
        </w:tblCellMar>
      </w:tblPr>
      <w:tblGrid>
        <w:gridCol w:w="81"/>
        <w:gridCol w:w="81"/>
      </w:tblGrid>
      <w:tr>
        <w:trPr/>
        <w:tc>
          <w:tcPr>
            <w:tcW w:w="81" w:type="dxa"/>
            <w:tcBorders/>
            <w:shd w:fill="auto" w:val="clear"/>
            <w:vAlign w:val="center"/>
          </w:tcPr>
          <w:p>
            <w:pPr>
              <w:pStyle w:val="Normal"/>
              <w:rPr>
                <w:vanish/>
              </w:rPr>
            </w:pPr>
            <w:r>
              <w:rPr>
                <w:vanish/>
              </w:rPr>
              <w:t>Item price</w:t>
            </w:r>
          </w:p>
        </w:tc>
        <w:tc>
          <w:tcPr>
            <w:tcW w:w="81" w:type="dxa"/>
            <w:tcBorders/>
            <w:shd w:fill="auto" w:val="clear"/>
            <w:vAlign w:val="center"/>
          </w:tcPr>
          <w:p>
            <w:pPr>
              <w:pStyle w:val="Normal"/>
              <w:rPr>
                <w:vanish/>
              </w:rPr>
            </w:pPr>
            <w:r>
              <w:rPr>
                <w:vanish/>
              </w:rPr>
              <w:t>$259.00</w:t>
            </w:r>
          </w:p>
        </w:tc>
      </w:tr>
      <w:tr>
        <w:trPr/>
        <w:tc>
          <w:tcPr>
            <w:tcW w:w="81" w:type="dxa"/>
            <w:tcBorders/>
            <w:shd w:fill="auto" w:val="clear"/>
            <w:vAlign w:val="center"/>
          </w:tcPr>
          <w:p>
            <w:pPr>
              <w:pStyle w:val="Normal"/>
              <w:rPr>
                <w:vanish/>
              </w:rPr>
            </w:pPr>
            <w:r>
              <w:rPr>
                <w:vanish/>
              </w:rPr>
              <w:t>Quantity</w:t>
            </w:r>
          </w:p>
        </w:tc>
        <w:tc>
          <w:tcPr>
            <w:tcW w:w="81" w:type="dxa"/>
            <w:tcBorders/>
            <w:shd w:fill="auto" w:val="clear"/>
            <w:vAlign w:val="center"/>
          </w:tcPr>
          <w:p>
            <w:pPr>
              <w:pStyle w:val="Normal"/>
              <w:rPr>
                <w:vanish/>
              </w:rPr>
            </w:pPr>
            <w:r>
              <w:rPr>
                <w:vanish/>
              </w:rPr>
              <w:t>1</w:t>
            </w:r>
          </w:p>
        </w:tc>
      </w:tr>
      <w:tr>
        <w:trPr/>
        <w:tc>
          <w:tcPr>
            <w:tcW w:w="81" w:type="dxa"/>
            <w:tcBorders/>
            <w:shd w:fill="auto" w:val="clear"/>
            <w:vAlign w:val="center"/>
          </w:tcPr>
          <w:p>
            <w:pPr>
              <w:pStyle w:val="Normal"/>
              <w:rPr>
                <w:vanish/>
              </w:rPr>
            </w:pPr>
            <w:r>
              <w:rPr>
                <w:vanish/>
              </w:rPr>
              <w:t>Item number</w:t>
            </w:r>
          </w:p>
        </w:tc>
        <w:tc>
          <w:tcPr>
            <w:tcW w:w="81" w:type="dxa"/>
            <w:tcBorders/>
            <w:shd w:fill="auto" w:val="clear"/>
            <w:vAlign w:val="center"/>
          </w:tcPr>
          <w:p>
            <w:pPr>
              <w:pStyle w:val="Normal"/>
              <w:rPr>
                <w:vanish/>
              </w:rPr>
            </w:pPr>
            <w:r>
              <w:rPr>
                <w:vanish/>
              </w:rPr>
              <w:t>271930909064</w:t>
            </w:r>
          </w:p>
        </w:tc>
      </w:tr>
      <w:tr>
        <w:trPr/>
        <w:tc>
          <w:tcPr>
            <w:tcW w:w="81" w:type="dxa"/>
            <w:tcBorders/>
            <w:shd w:fill="auto" w:val="clear"/>
            <w:vAlign w:val="center"/>
          </w:tcPr>
          <w:p>
            <w:pPr>
              <w:pStyle w:val="Normal"/>
              <w:rPr>
                <w:vanish/>
              </w:rPr>
            </w:pPr>
            <w:r>
              <w:rPr>
                <w:vanish/>
              </w:rPr>
              <w:t>Shipping service</w:t>
            </w:r>
          </w:p>
        </w:tc>
        <w:tc>
          <w:tcPr>
            <w:tcW w:w="81" w:type="dxa"/>
            <w:tcBorders/>
            <w:shd w:fill="auto" w:val="clear"/>
            <w:vAlign w:val="center"/>
          </w:tcPr>
          <w:p>
            <w:pPr>
              <w:pStyle w:val="Normal"/>
              <w:rPr>
                <w:vanish/>
              </w:rPr>
            </w:pPr>
            <w:r>
              <w:rPr>
                <w:vanish/>
              </w:rPr>
              <w:t xml:space="preserve">USPS Priority Mail </w:t>
            </w:r>
          </w:p>
        </w:tc>
      </w:tr>
    </w:tbl>
    <w:p>
      <w:pPr>
        <w:pStyle w:val="Normal"/>
        <w:rPr>
          <w:vanish/>
        </w:rPr>
      </w:pPr>
      <w:r>
        <w:rPr>
          <w:vanish/>
        </w:rPr>
        <w:t>Shipping address</w:t>
      </w:r>
    </w:p>
    <w:p>
      <w:pPr>
        <w:pStyle w:val="Normal"/>
        <w:rPr>
          <w:vanish/>
        </w:rPr>
      </w:pPr>
      <w:r>
        <w:rPr>
          <w:vanish/>
        </w:rPr>
        <w:t>Ralph J Coffman Jr</w:t>
      </w:r>
    </w:p>
    <w:p>
      <w:pPr>
        <w:pStyle w:val="Normal"/>
        <w:rPr>
          <w:vanish/>
        </w:rPr>
      </w:pPr>
      <w:r>
        <w:rPr>
          <w:vanish/>
        </w:rPr>
        <w:t>149 Atlantic Ave</w:t>
      </w:r>
    </w:p>
    <w:p>
      <w:pPr>
        <w:pStyle w:val="Normal"/>
        <w:rPr>
          <w:vanish/>
        </w:rPr>
      </w:pPr>
      <w:r>
        <w:rPr>
          <w:vanish/>
        </w:rPr>
        <w:t>Swampscott MA 01907-2427</w:t>
      </w:r>
    </w:p>
    <w:p>
      <w:pPr>
        <w:pStyle w:val="Normal"/>
        <w:rPr>
          <w:vanish/>
        </w:rPr>
      </w:pPr>
      <w:r>
        <w:rPr>
          <w:vanish/>
        </w:rPr>
        <w:t>United States</w:t>
      </w:r>
    </w:p>
    <w:p>
      <w:pPr>
        <w:pStyle w:val="Normal"/>
        <w:rPr>
          <w:vanish/>
        </w:rPr>
      </w:pPr>
      <w:r>
        <w:rPr>
          <w:vanish/>
        </w:rPr>
        <w:t>Order total</w:t>
      </w:r>
    </w:p>
    <w:tbl>
      <w:tblPr>
        <w:tblW w:w="162" w:type="dxa"/>
        <w:jc w:val="start"/>
        <w:tblInd w:w="-45" w:type="dxa"/>
        <w:tblBorders/>
        <w:tblCellMar>
          <w:top w:w="15" w:type="dxa"/>
          <w:start w:w="15" w:type="dxa"/>
          <w:bottom w:w="15" w:type="dxa"/>
          <w:end w:w="15" w:type="dxa"/>
        </w:tblCellMar>
      </w:tblPr>
      <w:tblGrid>
        <w:gridCol w:w="81"/>
        <w:gridCol w:w="81"/>
      </w:tblGrid>
      <w:tr>
        <w:trPr/>
        <w:tc>
          <w:tcPr>
            <w:tcW w:w="81" w:type="dxa"/>
            <w:tcBorders/>
            <w:shd w:fill="auto" w:val="clear"/>
            <w:vAlign w:val="center"/>
          </w:tcPr>
          <w:p>
            <w:pPr>
              <w:pStyle w:val="Normal"/>
              <w:rPr>
                <w:vanish/>
              </w:rPr>
            </w:pPr>
            <w:r>
              <w:rPr>
                <w:vanish/>
              </w:rPr>
              <w:t>Subtotal</w:t>
            </w:r>
          </w:p>
        </w:tc>
        <w:tc>
          <w:tcPr>
            <w:tcW w:w="81" w:type="dxa"/>
            <w:tcBorders/>
            <w:shd w:fill="auto" w:val="clear"/>
            <w:vAlign w:val="center"/>
          </w:tcPr>
          <w:p>
            <w:pPr>
              <w:pStyle w:val="Normal"/>
              <w:rPr>
                <w:vanish/>
              </w:rPr>
            </w:pPr>
            <w:r>
              <w:rPr>
                <w:vanish/>
              </w:rPr>
              <w:t>$259.00</w:t>
            </w:r>
          </w:p>
        </w:tc>
      </w:tr>
      <w:tr>
        <w:trPr/>
        <w:tc>
          <w:tcPr>
            <w:tcW w:w="81" w:type="dxa"/>
            <w:tcBorders/>
            <w:shd w:fill="auto" w:val="clear"/>
            <w:vAlign w:val="center"/>
          </w:tcPr>
          <w:p>
            <w:pPr>
              <w:pStyle w:val="Normal"/>
              <w:rPr>
                <w:vanish/>
              </w:rPr>
            </w:pPr>
            <w:r>
              <w:rPr>
                <w:vanish/>
              </w:rPr>
              <w:t>Shipping</w:t>
            </w:r>
          </w:p>
        </w:tc>
        <w:tc>
          <w:tcPr>
            <w:tcW w:w="81" w:type="dxa"/>
            <w:tcBorders/>
            <w:shd w:fill="auto" w:val="clear"/>
            <w:vAlign w:val="center"/>
          </w:tcPr>
          <w:p>
            <w:pPr>
              <w:pStyle w:val="Normal"/>
              <w:rPr>
                <w:vanish/>
              </w:rPr>
            </w:pPr>
            <w:r>
              <w:rPr>
                <w:vanish/>
              </w:rPr>
              <w:t xml:space="preserve">$6.70 </w:t>
            </w:r>
          </w:p>
        </w:tc>
      </w:tr>
    </w:tbl>
    <w:p>
      <w:pPr>
        <w:pStyle w:val="Normal"/>
        <w:rPr>
          <w:vanish/>
        </w:rPr>
      </w:pPr>
      <w:r>
        <w:rPr>
          <w:vanish/>
        </w:rPr>
        <w:t>Total</w:t>
      </w:r>
    </w:p>
    <w:p>
      <w:pPr>
        <w:pStyle w:val="Normal"/>
        <w:rPr/>
      </w:pPr>
      <w:r>
        <w:rPr>
          <w:vanish/>
        </w:rPr>
        <w:t>$265.70 Order placed on</w:t>
      </w:r>
    </w:p>
    <w:p>
      <w:pPr>
        <w:pStyle w:val="Normal"/>
        <w:rPr>
          <w:vanish/>
        </w:rPr>
      </w:pPr>
      <w:r>
        <w:rPr>
          <w:vanish/>
        </w:rPr>
        <w:t xml:space="preserve">Friday, Mar 25, 2016 </w:t>
      </w:r>
    </w:p>
    <w:p>
      <w:pPr>
        <w:pStyle w:val="Normal"/>
        <w:rPr>
          <w:vanish/>
        </w:rPr>
      </w:pPr>
      <w:r>
        <w:rPr>
          <w:vanish/>
        </w:rPr>
        <w:t>Payment method</w:t>
      </w:r>
    </w:p>
    <w:p>
      <w:pPr>
        <w:pStyle w:val="Normal"/>
        <w:rPr>
          <w:vanish/>
        </w:rPr>
      </w:pPr>
      <w:r>
        <w:rPr>
          <w:vanish/>
        </w:rPr>
        <w:t xml:space="preserve">PayPal </w:t>
      </w:r>
    </w:p>
    <w:p>
      <w:pPr>
        <w:pStyle w:val="Normal"/>
        <w:rPr/>
      </w:pPr>
      <w:r>
        <w:rPr>
          <w:vanish/>
        </w:rPr>
        <w:t xml:space="preserve">Payment date Friday, Mar 25, 2016 </w:t>
      </w:r>
    </w:p>
    <w:p>
      <w:pPr>
        <w:pStyle w:val="Normal"/>
        <w:rPr>
          <w:vanish/>
        </w:rPr>
      </w:pPr>
      <w:r>
        <w:rPr>
          <w:vanish/>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basedOn w:val="DefaultParagraphFont"/>
    <w:qFormat/>
    <w:rPr/>
  </w:style>
  <w:style w:type="character" w:styleId="Appleconvertedspace">
    <w:name w:val="apple-converted-space"/>
    <w:basedOn w:val="DefaultParagraphFont"/>
    <w:qFormat/>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Ngbinding">
    <w:name w:val="ng-binding"/>
    <w:basedOn w:val="DefaultParagraphFont"/>
    <w:qFormat/>
    <w:rPr/>
  </w:style>
  <w:style w:type="character" w:styleId="Ordertotalcostngbinding">
    <w:name w:val="ordertotalcost ng-binding"/>
    <w:basedOn w:val="DefaultParagraphFont"/>
    <w:qFormat/>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1">
    <w:name w:val="p1"/>
    <w:basedOn w:val="Normal"/>
    <w:qFormat/>
    <w:pPr>
      <w:spacing w:before="280" w:after="280"/>
    </w:pPr>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hyperlink" Target="http://luna.wellesley.edu/search~S1?/mF1219.1.G93+G29+1992/mf++1219.1+g93+g29+1992/-3,-1,,B/browse" TargetMode="External"/><Relationship Id="rId7" Type="http://schemas.openxmlformats.org/officeDocument/2006/relationships/image" Target="media/image5.png"/><Relationship Id="rId8" Type="http://schemas.openxmlformats.org/officeDocument/2006/relationships/hyperlink" Target="http://www.samildan-art.com/" TargetMode="External"/><Relationship Id="rId9" Type="http://schemas.openxmlformats.org/officeDocument/2006/relationships/image" Target="media/image6.png"/><Relationship Id="rId10" Type="http://schemas.openxmlformats.org/officeDocument/2006/relationships/hyperlink" Target="https://4.bp.blogspot.com/" TargetMode="External"/><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hyperlink" Target="http://www.samildan-art.com/" TargetMode="External"/><Relationship Id="rId15" Type="http://schemas.openxmlformats.org/officeDocument/2006/relationships/hyperlink" Target="http://www.templomayor.inah.gob.mx/" TargetMode="External"/><Relationship Id="rId16" Type="http://schemas.openxmlformats.org/officeDocument/2006/relationships/hyperlink" Target="http://www.samildan-art.com/" TargetMode="External"/><Relationship Id="rId17" Type="http://schemas.openxmlformats.org/officeDocument/2006/relationships/hyperlink" Target="http://www.templomayor.inah.gob.mx/" TargetMode="External"/><Relationship Id="rId18" Type="http://schemas.openxmlformats.org/officeDocument/2006/relationships/image" Target="media/image10.png"/><Relationship Id="rId19" Type="http://schemas.openxmlformats.org/officeDocument/2006/relationships/hyperlink" Target="https://4.bp.blogspot.com/" TargetMode="External"/><Relationship Id="rId20" Type="http://schemas.openxmlformats.org/officeDocument/2006/relationships/hyperlink" Target="https://4.bp.blogspot.com/" TargetMode="External"/><Relationship Id="rId21" Type="http://schemas.openxmlformats.org/officeDocument/2006/relationships/image" Target="media/image11.png"/><Relationship Id="rId22" Type="http://schemas.openxmlformats.org/officeDocument/2006/relationships/hyperlink" Target="https://tools.wmflabs.org/geohack/geohack.php?pagename=El_Mirador&amp;params=17_45_18.18_N_89_55_13.55_W_type:landmark" TargetMode="External"/><Relationship Id="rId23" Type="http://schemas.openxmlformats.org/officeDocument/2006/relationships/hyperlink" Target="https://en.wikipedia.org/w/index.php?title=Carlos_Morales-Aguilar&amp;action=edit&amp;redlink=1" TargetMode="External"/><Relationship Id="rId24" Type="http://schemas.openxmlformats.org/officeDocument/2006/relationships/hyperlink" Target="https://en.wikipedia.org/wiki/Pantheon-Sorbonne_University" TargetMode="External"/><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WWW.transamricas.com/" TargetMode="External"/><Relationship Id="rId28" Type="http://schemas.openxmlformats.org/officeDocument/2006/relationships/hyperlink" Target="http://WWW.transamricas.com/" TargetMode="External"/><Relationship Id="rId29" Type="http://schemas.openxmlformats.org/officeDocument/2006/relationships/image" Target="media/image1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www.flickr.com/people/34791752@N08" TargetMode="External"/><Relationship Id="rId35" Type="http://schemas.openxmlformats.org/officeDocument/2006/relationships/hyperlink" Target="https://tools.wmflabs.org/geohack/geohack.php?pagename=File:El_Mirador_Stela_2.jpg&amp;params=17.756038_N_89.91792_W_&amp;language=en" TargetMode="External"/><Relationship Id="rId36" Type="http://schemas.openxmlformats.org/officeDocument/2006/relationships/hyperlink" Target="https://en.wikipedia.org/w/index.php?title=El_Tigre_(pyramid)&amp;action=edit&amp;redlink=1" TargetMode="External"/><Relationship Id="rId37" Type="http://schemas.openxmlformats.org/officeDocument/2006/relationships/hyperlink" Target="https://en.wikipedia.org/w/index.php?title=La_Danta&amp;action=edit&amp;redlink=1" TargetMode="External"/><Relationship Id="rId38" Type="http://schemas.openxmlformats.org/officeDocument/2006/relationships/hyperlink" Target="https://en.wikipedia.org/wiki/Pyramids" TargetMode="External"/><Relationship Id="rId39" Type="http://schemas.openxmlformats.org/officeDocument/2006/relationships/hyperlink" Target="https://en.wikipedia.org/w/index.php?title=Los_Monos&amp;action=edit&amp;redlink=1" TargetMode="External"/><Relationship Id="rId40" Type="http://schemas.openxmlformats.org/officeDocument/2006/relationships/hyperlink" Target="https://en.wikipedia.org/wiki/Stucco" TargetMode="External"/><Relationship Id="rId41" Type="http://schemas.openxmlformats.org/officeDocument/2006/relationships/hyperlink" Target="https://en.wikipedia.org/wiki/Maya_mythology" TargetMode="External"/><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hyperlink" Target="http://www.drustvo-antropologov.si/AN/PDF/2009_3/Anthropological_Notebooks_XV_3_Sprajc.pdf" TargetMode="External"/><Relationship Id="rId56" Type="http://schemas.openxmlformats.org/officeDocument/2006/relationships/hyperlink" Target="http://www.mesoweb.com/publications/MMS/14_Suyuc-Hansen.pdf" TargetMode="External"/><Relationship Id="rId57" Type="http://schemas.openxmlformats.org/officeDocument/2006/relationships/hyperlink" Target="https://depotuw.ceon.pl/bitstream/handle/item/358/Between Death and Divinity.pdf?sequence=1" TargetMode="External"/><Relationship Id="rId58" Type="http://schemas.openxmlformats.org/officeDocument/2006/relationships/hyperlink" Target="https://en.wikipedia.org/wiki/PDF" TargetMode="External"/><Relationship Id="rId59" Type="http://schemas.openxmlformats.org/officeDocument/2006/relationships/hyperlink" Target="https://en.wikipedia.org/wiki/University_of_Warsaw" TargetMode="External"/><Relationship Id="rId60" Type="http://schemas.openxmlformats.org/officeDocument/2006/relationships/hyperlink" Target="http://www.ebay.com/itm/271930909064" TargetMode="Externa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2018-07-24T13:35:00Z</dcterms:created>
  <dc:creator>owner</dc:creator>
  <dc:description/>
  <cp:keywords/>
  <dc:language>en-US</dc:language>
  <cp:lastModifiedBy>Ralph Coffman</cp:lastModifiedBy>
  <dcterms:modified xsi:type="dcterms:W3CDTF">2018-07-24T13:35:00Z</dcterms:modified>
  <cp:revision>2</cp:revision>
  <dc:subject/>
  <dc:title>DIS-MEX-Mezcala-AMNH Head</dc:title>
</cp:coreProperties>
</file>